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>Załącznik nr 1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do zarządzenia nr </w:t>
      </w:r>
      <w:r>
        <w:rPr>
          <w:i/>
        </w:rPr>
        <w:t>49</w:t>
      </w:r>
      <w:r w:rsidRPr="002870AA">
        <w:rPr>
          <w:i/>
        </w:rPr>
        <w:t>/2018 Rektora UPP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z dnia </w:t>
      </w:r>
      <w:r>
        <w:rPr>
          <w:i/>
        </w:rPr>
        <w:t>4 maja</w:t>
      </w:r>
      <w:r w:rsidRPr="002870AA">
        <w:rPr>
          <w:i/>
        </w:rPr>
        <w:t xml:space="preserve"> 2018 roku</w:t>
      </w:r>
    </w:p>
    <w:p w:rsidR="00717733" w:rsidRPr="00EF7FA4" w:rsidRDefault="00717733" w:rsidP="00717733">
      <w:pPr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94"/>
        <w:gridCol w:w="3981"/>
        <w:gridCol w:w="422"/>
        <w:gridCol w:w="1919"/>
      </w:tblGrid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Studia podyplomowe:</w:t>
            </w:r>
            <w:r w:rsidR="00D3513D">
              <w:rPr>
                <w:sz w:val="20"/>
                <w:szCs w:val="20"/>
              </w:rPr>
              <w:t xml:space="preserve"> Gospodarka odpadami organicznymi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Wydział</w:t>
            </w:r>
            <w:r w:rsidR="00D3513D">
              <w:rPr>
                <w:sz w:val="20"/>
                <w:szCs w:val="20"/>
              </w:rPr>
              <w:t>: Rolnictwa i Bioinżynierii</w:t>
            </w:r>
          </w:p>
        </w:tc>
      </w:tr>
      <w:tr w:rsidR="00717733" w:rsidRPr="00CC21F6" w:rsidTr="00514B0E">
        <w:trPr>
          <w:jc w:val="center"/>
        </w:trPr>
        <w:tc>
          <w:tcPr>
            <w:tcW w:w="7340" w:type="dxa"/>
            <w:gridSpan w:val="4"/>
            <w:shd w:val="clear" w:color="auto" w:fill="auto"/>
          </w:tcPr>
          <w:p w:rsidR="00717733" w:rsidRPr="003C207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Nazwa przedmiotu:</w:t>
            </w:r>
          </w:p>
          <w:p w:rsidR="00717733" w:rsidRPr="00CC21F6" w:rsidRDefault="001B2757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1B2757">
              <w:rPr>
                <w:sz w:val="20"/>
                <w:szCs w:val="20"/>
              </w:rPr>
              <w:t xml:space="preserve">Podstawy projektowania instalacji do biologicznego przetwarzania odpadów (m.in. kompostowani, </w:t>
            </w:r>
            <w:proofErr w:type="spellStart"/>
            <w:r w:rsidRPr="001B2757">
              <w:rPr>
                <w:sz w:val="20"/>
                <w:szCs w:val="20"/>
              </w:rPr>
              <w:t>biogazowani</w:t>
            </w:r>
            <w:proofErr w:type="spellEnd"/>
            <w:r w:rsidRPr="001B2757">
              <w:rPr>
                <w:sz w:val="20"/>
                <w:szCs w:val="20"/>
              </w:rPr>
              <w:t>)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Liczba punktów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ECTS</w:t>
            </w:r>
            <w:r>
              <w:rPr>
                <w:sz w:val="20"/>
                <w:szCs w:val="20"/>
              </w:rPr>
              <w:t xml:space="preserve">: </w:t>
            </w:r>
            <w:r w:rsidR="0007213B">
              <w:rPr>
                <w:sz w:val="20"/>
                <w:szCs w:val="20"/>
              </w:rPr>
              <w:t>2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CF4A21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przedmiotu</w:t>
            </w:r>
            <w:r w:rsidRPr="00CC21F6">
              <w:rPr>
                <w:sz w:val="20"/>
                <w:szCs w:val="20"/>
              </w:rPr>
              <w:t xml:space="preserve">: </w:t>
            </w:r>
            <w:r w:rsidR="0007213B" w:rsidRPr="0007213B">
              <w:rPr>
                <w:sz w:val="20"/>
                <w:szCs w:val="20"/>
              </w:rPr>
              <w:t>dr inż. Jakub Mazurkiewicz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Rodzaje zajęć i ich wymiar godzinowy (zajęcia zorganizowane i praca własna słuchacza)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wykłady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1B2757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ćwiczenia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1B2757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7733" w:rsidRPr="00CC21F6" w:rsidTr="00514B0E">
        <w:trPr>
          <w:trHeight w:val="256"/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0078E8" w:rsidP="0007213B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  <w:r w:rsidR="0007213B">
              <w:rPr>
                <w:sz w:val="20"/>
                <w:szCs w:val="20"/>
              </w:rPr>
              <w:t>terenowe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1B2757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2525D8" w:rsidRDefault="00717733" w:rsidP="00514B0E">
            <w:pPr>
              <w:spacing w:before="20" w:after="20"/>
              <w:contextualSpacing/>
              <w:rPr>
                <w:b/>
                <w:sz w:val="20"/>
                <w:szCs w:val="20"/>
              </w:rPr>
            </w:pPr>
            <w:r w:rsidRPr="002525D8">
              <w:rPr>
                <w:b/>
                <w:sz w:val="20"/>
                <w:szCs w:val="20"/>
              </w:rPr>
              <w:t>łączna liczba godz. zajęć zorganizowanych</w:t>
            </w:r>
          </w:p>
        </w:tc>
        <w:tc>
          <w:tcPr>
            <w:tcW w:w="1948" w:type="dxa"/>
            <w:shd w:val="clear" w:color="auto" w:fill="auto"/>
          </w:tcPr>
          <w:p w:rsidR="00717733" w:rsidRPr="002525D8" w:rsidRDefault="001B2757" w:rsidP="0007213B">
            <w:pPr>
              <w:spacing w:before="20" w:after="20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praca własna słuchacza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1B2757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213B">
              <w:rPr>
                <w:sz w:val="20"/>
                <w:szCs w:val="20"/>
              </w:rPr>
              <w:t>0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PRZEDMIOTU</w:t>
            </w:r>
          </w:p>
          <w:p w:rsidR="00717733" w:rsidRPr="00CC21F6" w:rsidRDefault="001B2757" w:rsidP="001B2757">
            <w:pPr>
              <w:spacing w:before="20" w:after="20"/>
              <w:rPr>
                <w:sz w:val="20"/>
                <w:szCs w:val="20"/>
              </w:rPr>
            </w:pPr>
            <w:r w:rsidRPr="001B2757">
              <w:rPr>
                <w:sz w:val="20"/>
                <w:szCs w:val="20"/>
              </w:rPr>
              <w:t>Uczestnik będzie potrafił wymienić oraz scharakteryzować konieczne do przeprowadzenia inwestycji zagadnienia, tj. ustalenie lokalizacji instalacji, sporządzenie planu przestrzennego zagospodarowania działki, rapo</w:t>
            </w:r>
            <w:r>
              <w:rPr>
                <w:sz w:val="20"/>
                <w:szCs w:val="20"/>
              </w:rPr>
              <w:t xml:space="preserve">rtu odziaływania na środowisko. </w:t>
            </w:r>
            <w:r w:rsidRPr="001B2757">
              <w:rPr>
                <w:sz w:val="20"/>
                <w:szCs w:val="20"/>
              </w:rPr>
              <w:t>Uczestnik będzie potrafił określić ogólne wytyczne (parametry techniczne) do wykonania projektu budowlanego kompostowni, biogazowni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DYDAKTYCZNE</w:t>
            </w:r>
          </w:p>
          <w:p w:rsidR="00717733" w:rsidRPr="00CC21F6" w:rsidRDefault="0047660E" w:rsidP="001B2757">
            <w:pPr>
              <w:jc w:val="both"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Wykłady, ćwiczenia audytoryjne</w:t>
            </w:r>
            <w:r w:rsidR="001B2757">
              <w:rPr>
                <w:sz w:val="20"/>
                <w:szCs w:val="20"/>
              </w:rPr>
              <w:t>, dyskusja na zajęciach.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ZAKŁADANE EFEKTY KSZTAŁCENIA PRZEDMIOTU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Odniesienie</w:t>
            </w:r>
            <w:r>
              <w:rPr>
                <w:sz w:val="20"/>
                <w:szCs w:val="20"/>
              </w:rPr>
              <w:t xml:space="preserve"> </w:t>
            </w:r>
            <w:r w:rsidRPr="00CC21F6">
              <w:rPr>
                <w:sz w:val="20"/>
                <w:szCs w:val="20"/>
              </w:rPr>
              <w:t>do efektów</w:t>
            </w:r>
          </w:p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kierunkowych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Wiedza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87516C" w:rsidRPr="0087516C" w:rsidRDefault="00D3513D" w:rsidP="0087516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6A61F7">
              <w:rPr>
                <w:sz w:val="20"/>
                <w:szCs w:val="20"/>
              </w:rPr>
              <w:t xml:space="preserve">E1: </w:t>
            </w:r>
            <w:r w:rsidR="0087516C" w:rsidRPr="0087516C">
              <w:rPr>
                <w:sz w:val="20"/>
                <w:szCs w:val="20"/>
              </w:rPr>
              <w:t>Słuchacz zna zasady projektowania biogazowni i kompostowni</w:t>
            </w:r>
          </w:p>
          <w:p w:rsidR="00717733" w:rsidRPr="006A61F7" w:rsidRDefault="0087516C" w:rsidP="0087516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E2: </w:t>
            </w:r>
            <w:r w:rsidRPr="0087516C">
              <w:rPr>
                <w:sz w:val="20"/>
                <w:szCs w:val="20"/>
              </w:rPr>
              <w:t>Słuchacz zna konieczne do przeprowadzenia inwestycji zagadnienia, tj. ustalenie lokalizacji instalacji, sporządzenie planu przestrzennego zagospodarowania działki, raportu odziaływania na środowisko.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87516C" w:rsidRPr="0087516C" w:rsidRDefault="0087516C" w:rsidP="0087516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E_W19</w:t>
            </w:r>
          </w:p>
          <w:p w:rsidR="00717733" w:rsidRPr="00CC21F6" w:rsidRDefault="0087516C" w:rsidP="0087516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E_W20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Umiejętności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87516C" w:rsidRPr="0087516C" w:rsidRDefault="00026C9C" w:rsidP="0087516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  <w:r w:rsidR="00D3513D" w:rsidRPr="006A61F7">
              <w:rPr>
                <w:sz w:val="20"/>
                <w:szCs w:val="20"/>
              </w:rPr>
              <w:t xml:space="preserve">: </w:t>
            </w:r>
            <w:r w:rsidR="0087516C" w:rsidRPr="0087516C">
              <w:rPr>
                <w:sz w:val="20"/>
                <w:szCs w:val="20"/>
              </w:rPr>
              <w:t>Słuchacz potrafi stworzyć koncepcję projektową biogazowni i kompostowni.</w:t>
            </w:r>
          </w:p>
          <w:p w:rsidR="00717733" w:rsidRPr="006A61F7" w:rsidRDefault="0087516C" w:rsidP="0087516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E4: </w:t>
            </w:r>
            <w:r w:rsidRPr="0087516C">
              <w:rPr>
                <w:sz w:val="20"/>
                <w:szCs w:val="20"/>
              </w:rPr>
              <w:t>Słuchacz potrafił wymienić oraz scharakteryzować konieczne do przeprowadzenia inwestycji zagadnienia, tj. ustalenie lokalizacji instalacji, sporządzenie planu przestrzennego zagospodarowania działki, raportu odziaływania na środowisko.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87516C" w:rsidRPr="0087516C" w:rsidRDefault="0087516C" w:rsidP="0087516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E_U15</w:t>
            </w:r>
          </w:p>
          <w:p w:rsidR="00717733" w:rsidRPr="00CC21F6" w:rsidRDefault="0087516C" w:rsidP="0087516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E_U16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Kompetencje</w:t>
            </w:r>
          </w:p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społeczne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717733" w:rsidRPr="00CC21F6" w:rsidRDefault="0071773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</w:t>
            </w:r>
            <w:r w:rsidR="00026C9C">
              <w:rPr>
                <w:sz w:val="20"/>
                <w:szCs w:val="20"/>
              </w:rPr>
              <w:t>5</w:t>
            </w:r>
            <w:r w:rsidR="0047660E" w:rsidRPr="0047660E">
              <w:rPr>
                <w:sz w:val="20"/>
                <w:szCs w:val="20"/>
              </w:rPr>
              <w:t xml:space="preserve">: </w:t>
            </w:r>
            <w:r w:rsidR="0087516C" w:rsidRPr="0087516C">
              <w:rPr>
                <w:sz w:val="20"/>
                <w:szCs w:val="20"/>
              </w:rPr>
              <w:t>Słuchacz jest kreatywny, potrafi określić problemy środowiskowe, społeczne i inżynierskie przy projektowaniu obiektów.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Pr="00CC21F6" w:rsidRDefault="0087516C" w:rsidP="00254E7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E_K15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weryfikacji efektów kształcenia:</w:t>
            </w:r>
          </w:p>
          <w:p w:rsidR="0047660E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3C2073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Egzamin</w:t>
            </w:r>
          </w:p>
          <w:p w:rsidR="00B517AC" w:rsidRPr="00CC21F6" w:rsidRDefault="00B517AC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obliczeniowe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efektów przedmiotowych</w:t>
            </w:r>
          </w:p>
          <w:p w:rsidR="003C2073" w:rsidRDefault="000078E8" w:rsidP="00026C9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E1,E2,E3</w:t>
            </w:r>
            <w:r w:rsidR="001156F3">
              <w:rPr>
                <w:sz w:val="20"/>
                <w:szCs w:val="20"/>
              </w:rPr>
              <w:t>,E</w:t>
            </w:r>
            <w:r w:rsidR="00026C9C">
              <w:rPr>
                <w:sz w:val="20"/>
                <w:szCs w:val="20"/>
              </w:rPr>
              <w:t>4,E5</w:t>
            </w:r>
          </w:p>
          <w:p w:rsidR="00B517AC" w:rsidRPr="00CC21F6" w:rsidRDefault="00B517AC" w:rsidP="00026C9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E3,,E4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TREŚCI KSZTAŁCENIA</w:t>
            </w:r>
          </w:p>
          <w:p w:rsidR="0087516C" w:rsidRPr="0087516C" w:rsidRDefault="0087516C" w:rsidP="0087516C">
            <w:pPr>
              <w:pStyle w:val="Akapitzlist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Ustalanie lokalizacji instalacji biologicznego przetwarzania odpadów</w:t>
            </w:r>
          </w:p>
          <w:p w:rsidR="0087516C" w:rsidRPr="0087516C" w:rsidRDefault="0087516C" w:rsidP="0087516C">
            <w:pPr>
              <w:pStyle w:val="Akapitzlist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Sporządzenie planu przestrzennego zagospodarowania działki</w:t>
            </w:r>
          </w:p>
          <w:p w:rsidR="0087516C" w:rsidRPr="0087516C" w:rsidRDefault="0087516C" w:rsidP="0087516C">
            <w:pPr>
              <w:pStyle w:val="Akapitzlist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Sporządzenie raportu odziaływania na środowisko</w:t>
            </w:r>
          </w:p>
          <w:p w:rsidR="00717733" w:rsidRPr="0087516C" w:rsidRDefault="0087516C" w:rsidP="0087516C">
            <w:pPr>
              <w:pStyle w:val="Akapitzlist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Określenie ogólnych wytycznych (parametrów technicznych) do wykonania projektu budowlanego kompostowni, biogazowni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Formy i</w:t>
            </w:r>
            <w:r>
              <w:rPr>
                <w:sz w:val="20"/>
                <w:szCs w:val="20"/>
              </w:rPr>
              <w:t xml:space="preserve"> kryteria zaliczenia przedmiotu</w:t>
            </w:r>
            <w:r w:rsidR="0047660E">
              <w:rPr>
                <w:sz w:val="20"/>
                <w:szCs w:val="20"/>
              </w:rPr>
              <w:t>:</w:t>
            </w:r>
          </w:p>
          <w:p w:rsid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0078E8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Egzamin</w:t>
            </w:r>
          </w:p>
          <w:p w:rsidR="00B517AC" w:rsidRPr="000078E8" w:rsidRDefault="00B517AC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Zadanie obliczeniowe</w:t>
            </w:r>
          </w:p>
          <w:p w:rsidR="00717733" w:rsidRPr="00CC21F6" w:rsidRDefault="0071773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Procentowy udział w </w:t>
            </w:r>
            <w:r w:rsidRPr="00CC21F6">
              <w:rPr>
                <w:sz w:val="20"/>
                <w:szCs w:val="20"/>
              </w:rPr>
              <w:t>ocenie końcowej</w:t>
            </w:r>
          </w:p>
          <w:p w:rsidR="000078E8" w:rsidRDefault="00B517AC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26C9C">
              <w:rPr>
                <w:sz w:val="20"/>
                <w:szCs w:val="20"/>
              </w:rPr>
              <w:t>%</w:t>
            </w:r>
          </w:p>
          <w:p w:rsidR="00B517AC" w:rsidRPr="00CC21F6" w:rsidRDefault="00B517AC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717733" w:rsidRPr="00CC21F6" w:rsidTr="000078E8">
        <w:trPr>
          <w:trHeight w:val="4110"/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lastRenderedPageBreak/>
              <w:t>WYKAZ LITERATURY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Literatura:</w:t>
            </w:r>
          </w:p>
          <w:p w:rsidR="0087516C" w:rsidRPr="0087516C" w:rsidRDefault="0087516C" w:rsidP="0087516C">
            <w:p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•</w:t>
            </w:r>
            <w:r w:rsidRPr="0087516C">
              <w:rPr>
                <w:sz w:val="20"/>
                <w:szCs w:val="20"/>
              </w:rPr>
              <w:tab/>
              <w:t>Rosik-</w:t>
            </w:r>
            <w:proofErr w:type="spellStart"/>
            <w:r w:rsidRPr="0087516C">
              <w:rPr>
                <w:sz w:val="20"/>
                <w:szCs w:val="20"/>
              </w:rPr>
              <w:t>Dulewska</w:t>
            </w:r>
            <w:proofErr w:type="spellEnd"/>
            <w:r w:rsidRPr="0087516C">
              <w:rPr>
                <w:sz w:val="20"/>
                <w:szCs w:val="20"/>
              </w:rPr>
              <w:t xml:space="preserve"> Cz.</w:t>
            </w:r>
            <w:r w:rsidRPr="0087516C">
              <w:rPr>
                <w:sz w:val="20"/>
                <w:szCs w:val="20"/>
              </w:rPr>
              <w:tab/>
              <w:t xml:space="preserve"> (2012). Podstawy gospodarki odpadami</w:t>
            </w:r>
          </w:p>
          <w:p w:rsidR="0087516C" w:rsidRPr="0087516C" w:rsidRDefault="0087516C" w:rsidP="0087516C">
            <w:p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•</w:t>
            </w:r>
            <w:r w:rsidRPr="0087516C">
              <w:rPr>
                <w:sz w:val="20"/>
                <w:szCs w:val="20"/>
              </w:rPr>
              <w:tab/>
            </w:r>
            <w:proofErr w:type="spellStart"/>
            <w:r w:rsidRPr="0087516C">
              <w:rPr>
                <w:sz w:val="20"/>
                <w:szCs w:val="20"/>
              </w:rPr>
              <w:t>Bilitewski</w:t>
            </w:r>
            <w:proofErr w:type="spellEnd"/>
            <w:r w:rsidRPr="0087516C">
              <w:rPr>
                <w:sz w:val="20"/>
                <w:szCs w:val="20"/>
              </w:rPr>
              <w:t xml:space="preserve"> B., </w:t>
            </w:r>
            <w:proofErr w:type="spellStart"/>
            <w:r w:rsidRPr="0087516C">
              <w:rPr>
                <w:sz w:val="20"/>
                <w:szCs w:val="20"/>
              </w:rPr>
              <w:t>Hardtle</w:t>
            </w:r>
            <w:proofErr w:type="spellEnd"/>
            <w:r w:rsidRPr="0087516C">
              <w:rPr>
                <w:sz w:val="20"/>
                <w:szCs w:val="20"/>
              </w:rPr>
              <w:t xml:space="preserve"> G., Marek K. (2006). Podręcznik gospodarki odpadami - teoria i praktyka</w:t>
            </w:r>
          </w:p>
          <w:p w:rsidR="0087516C" w:rsidRPr="0087516C" w:rsidRDefault="0087516C" w:rsidP="0087516C">
            <w:p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•</w:t>
            </w:r>
            <w:r w:rsidRPr="0087516C">
              <w:rPr>
                <w:sz w:val="20"/>
                <w:szCs w:val="20"/>
              </w:rPr>
              <w:tab/>
              <w:t>Rak A. (2014). Budowlane przedsięwzięcia inwestycyjne. Środowiskowe uwarunkowania przygotowania i realizacji</w:t>
            </w:r>
          </w:p>
          <w:p w:rsidR="0087516C" w:rsidRPr="0087516C" w:rsidRDefault="0087516C" w:rsidP="0087516C">
            <w:p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•</w:t>
            </w:r>
            <w:r w:rsidRPr="0087516C">
              <w:rPr>
                <w:sz w:val="20"/>
                <w:szCs w:val="20"/>
              </w:rPr>
              <w:tab/>
            </w:r>
            <w:proofErr w:type="spellStart"/>
            <w:r w:rsidRPr="0087516C">
              <w:rPr>
                <w:sz w:val="20"/>
                <w:szCs w:val="20"/>
              </w:rPr>
              <w:t>Jędrczak</w:t>
            </w:r>
            <w:proofErr w:type="spellEnd"/>
            <w:r w:rsidRPr="0087516C">
              <w:rPr>
                <w:sz w:val="20"/>
                <w:szCs w:val="20"/>
              </w:rPr>
              <w:t>, Andrzej (2008). Biologiczne przetwarzanie odpadów</w:t>
            </w:r>
          </w:p>
          <w:p w:rsidR="0087516C" w:rsidRPr="0087516C" w:rsidRDefault="0087516C" w:rsidP="0087516C">
            <w:p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•</w:t>
            </w:r>
            <w:r w:rsidRPr="0087516C">
              <w:rPr>
                <w:sz w:val="20"/>
                <w:szCs w:val="20"/>
              </w:rPr>
              <w:tab/>
              <w:t>Struktura i uwarunkowania współczesnego</w:t>
            </w:r>
          </w:p>
          <w:p w:rsidR="0087516C" w:rsidRPr="0087516C" w:rsidRDefault="0087516C" w:rsidP="0087516C">
            <w:p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•</w:t>
            </w:r>
            <w:r w:rsidRPr="0087516C">
              <w:rPr>
                <w:sz w:val="20"/>
                <w:szCs w:val="20"/>
              </w:rPr>
              <w:tab/>
              <w:t>Biliński T. (2010). Struktura i uwarunkowania współczesnego procesu inwestycyjno-budowlanego</w:t>
            </w:r>
          </w:p>
          <w:p w:rsidR="0087516C" w:rsidRPr="0087516C" w:rsidRDefault="0087516C" w:rsidP="0087516C">
            <w:p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•</w:t>
            </w:r>
            <w:r w:rsidRPr="0087516C">
              <w:rPr>
                <w:sz w:val="20"/>
                <w:szCs w:val="20"/>
              </w:rPr>
              <w:tab/>
              <w:t xml:space="preserve">Kosicka D., Mazurkiewicz J., Mazur R., </w:t>
            </w:r>
            <w:proofErr w:type="spellStart"/>
            <w:r w:rsidRPr="0087516C">
              <w:rPr>
                <w:sz w:val="20"/>
                <w:szCs w:val="20"/>
              </w:rPr>
              <w:t>Wolna-Maruwka</w:t>
            </w:r>
            <w:proofErr w:type="spellEnd"/>
            <w:r w:rsidRPr="0087516C">
              <w:rPr>
                <w:sz w:val="20"/>
                <w:szCs w:val="20"/>
              </w:rPr>
              <w:t xml:space="preserve"> A.: Kompostowanie osadów ściekowych komunalnych i przydomowych. Technologia Wody nr 46, 2016 r.</w:t>
            </w:r>
          </w:p>
          <w:p w:rsidR="0087516C" w:rsidRPr="0087516C" w:rsidRDefault="0087516C" w:rsidP="0087516C">
            <w:p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•</w:t>
            </w:r>
            <w:r w:rsidRPr="0087516C">
              <w:rPr>
                <w:sz w:val="20"/>
                <w:szCs w:val="20"/>
              </w:rPr>
              <w:tab/>
              <w:t xml:space="preserve">Kosicka D., </w:t>
            </w:r>
            <w:proofErr w:type="spellStart"/>
            <w:r w:rsidRPr="0087516C">
              <w:rPr>
                <w:sz w:val="20"/>
                <w:szCs w:val="20"/>
              </w:rPr>
              <w:t>Wolna-Maruwka</w:t>
            </w:r>
            <w:proofErr w:type="spellEnd"/>
            <w:r w:rsidRPr="0087516C">
              <w:rPr>
                <w:sz w:val="20"/>
                <w:szCs w:val="20"/>
              </w:rPr>
              <w:t xml:space="preserve"> A., Mazurkiewicz J.: Zagrożenia związane z występowaniem organizmów chorobotwórczych w osadach ściekowych oraz sposoby ich redukcji. </w:t>
            </w:r>
            <w:proofErr w:type="spellStart"/>
            <w:r w:rsidRPr="0087516C">
              <w:rPr>
                <w:sz w:val="20"/>
                <w:szCs w:val="20"/>
              </w:rPr>
              <w:t>Archives</w:t>
            </w:r>
            <w:proofErr w:type="spellEnd"/>
            <w:r w:rsidRPr="0087516C">
              <w:rPr>
                <w:sz w:val="20"/>
                <w:szCs w:val="20"/>
              </w:rPr>
              <w:t xml:space="preserve"> of Waste Management and </w:t>
            </w:r>
            <w:proofErr w:type="spellStart"/>
            <w:r w:rsidRPr="0087516C">
              <w:rPr>
                <w:sz w:val="20"/>
                <w:szCs w:val="20"/>
              </w:rPr>
              <w:t>Environmental</w:t>
            </w:r>
            <w:proofErr w:type="spellEnd"/>
            <w:r w:rsidRPr="0087516C">
              <w:rPr>
                <w:sz w:val="20"/>
                <w:szCs w:val="20"/>
              </w:rPr>
              <w:t xml:space="preserve"> </w:t>
            </w:r>
            <w:proofErr w:type="spellStart"/>
            <w:r w:rsidRPr="0087516C">
              <w:rPr>
                <w:sz w:val="20"/>
                <w:szCs w:val="20"/>
              </w:rPr>
              <w:t>Protection</w:t>
            </w:r>
            <w:proofErr w:type="spellEnd"/>
            <w:r w:rsidRPr="0087516C">
              <w:rPr>
                <w:sz w:val="20"/>
                <w:szCs w:val="20"/>
              </w:rPr>
              <w:t>, Vol 17, No 4, 2015 r.</w:t>
            </w:r>
          </w:p>
          <w:p w:rsidR="00717733" w:rsidRPr="00026C9C" w:rsidRDefault="0087516C" w:rsidP="0087516C">
            <w:pPr>
              <w:spacing w:before="20" w:after="20"/>
              <w:rPr>
                <w:sz w:val="20"/>
                <w:szCs w:val="20"/>
              </w:rPr>
            </w:pPr>
            <w:r w:rsidRPr="0087516C">
              <w:rPr>
                <w:sz w:val="20"/>
                <w:szCs w:val="20"/>
              </w:rPr>
              <w:t>•</w:t>
            </w:r>
            <w:r w:rsidRPr="0087516C">
              <w:rPr>
                <w:sz w:val="20"/>
                <w:szCs w:val="20"/>
              </w:rPr>
              <w:tab/>
              <w:t>Regulacje prawne z zakresu gospodarki odpadami i planowaniami inwestycji oddziałujących na środowisko</w:t>
            </w:r>
          </w:p>
        </w:tc>
      </w:tr>
    </w:tbl>
    <w:p w:rsidR="00717733" w:rsidRPr="00EF7FA4" w:rsidRDefault="00717733" w:rsidP="00717733"/>
    <w:p w:rsidR="00717733" w:rsidRPr="00EF7FA4" w:rsidRDefault="00717733" w:rsidP="00717733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421D19" w:rsidRDefault="00421D19" w:rsidP="00717733">
      <w:bookmarkStart w:id="0" w:name="_GoBack"/>
      <w:bookmarkEnd w:id="0"/>
    </w:p>
    <w:sectPr w:rsidR="0042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A93"/>
    <w:multiLevelType w:val="hybridMultilevel"/>
    <w:tmpl w:val="55FA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18A3"/>
    <w:multiLevelType w:val="hybridMultilevel"/>
    <w:tmpl w:val="A9BE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3ED9"/>
    <w:multiLevelType w:val="hybridMultilevel"/>
    <w:tmpl w:val="BE22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4918"/>
    <w:multiLevelType w:val="hybridMultilevel"/>
    <w:tmpl w:val="DF2A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70B2D"/>
    <w:multiLevelType w:val="hybridMultilevel"/>
    <w:tmpl w:val="F8A8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9058F"/>
    <w:multiLevelType w:val="hybridMultilevel"/>
    <w:tmpl w:val="DA86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754B"/>
    <w:multiLevelType w:val="hybridMultilevel"/>
    <w:tmpl w:val="193A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3"/>
    <w:rsid w:val="000078E8"/>
    <w:rsid w:val="00026C9C"/>
    <w:rsid w:val="0007213B"/>
    <w:rsid w:val="001156F3"/>
    <w:rsid w:val="001B2757"/>
    <w:rsid w:val="00254E77"/>
    <w:rsid w:val="003C2073"/>
    <w:rsid w:val="00421D19"/>
    <w:rsid w:val="0047660E"/>
    <w:rsid w:val="006A61F7"/>
    <w:rsid w:val="00717733"/>
    <w:rsid w:val="007F6073"/>
    <w:rsid w:val="0087516C"/>
    <w:rsid w:val="00B517AC"/>
    <w:rsid w:val="00CF4A21"/>
    <w:rsid w:val="00D3513D"/>
    <w:rsid w:val="00D46C7B"/>
    <w:rsid w:val="00D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Kurasz</dc:creator>
  <cp:lastModifiedBy>dell</cp:lastModifiedBy>
  <cp:revision>2</cp:revision>
  <dcterms:created xsi:type="dcterms:W3CDTF">2018-05-22T20:22:00Z</dcterms:created>
  <dcterms:modified xsi:type="dcterms:W3CDTF">2018-05-22T20:22:00Z</dcterms:modified>
</cp:coreProperties>
</file>